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RANGER MICHAEL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CONSOLIDATED EDISON, INC. C/O SECRETARY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IRVING PLACE; ROOM 16-205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CONSOLIDATED EDISON INC</w:t>
              </w:r>
            </w:hyperlink>
            <w:r>
              <w:rPr/>
              <w:t xml:space="preserve"> [ </w:t>
            </w:r>
            <w:r>
              <w:rPr>
                <w:rFonts w:ascii="Times;serif" w:hAnsi="Times;serif"/>
                <w:color w:val="0000FF"/>
                <w:sz w:val="24"/>
                <w:shd w:fill="FFFFFF" w:val="clear"/>
              </w:rPr>
              <w:t>ED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4"/>
        <w:gridCol w:w="901"/>
        <w:gridCol w:w="773"/>
        <w:gridCol w:w="598"/>
        <w:gridCol w:w="335"/>
        <w:gridCol w:w="1037"/>
        <w:gridCol w:w="416"/>
        <w:gridCol w:w="829"/>
        <w:gridCol w:w="1467"/>
        <w:gridCol w:w="951"/>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440.658</w:t>
            </w:r>
            <w:r>
              <w:rPr>
                <w:rFonts w:ascii="Times;serif" w:hAnsi="Times;serif"/>
                <w:color w:val="008000"/>
                <w:position w:val="7"/>
                <w:sz w:val="16"/>
                <w:sz w:val="20"/>
                <w:shd w:fill="FFFFFF" w:val="clear"/>
              </w:rPr>
              <w:t>(1)</w:t>
            </w:r>
            <w:r>
              <w:rPr/>
              <w:t xml:space="preserve"> </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110.63</w:t>
            </w:r>
            <w:r>
              <w:rPr/>
              <w:t xml:space="preserve"> </w:t>
            </w:r>
          </w:p>
        </w:tc>
        <w:tc>
          <w:tcPr>
            <w:tcW w:w="1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101,878.521</w:t>
            </w:r>
            <w:r>
              <w:rPr>
                <w:rFonts w:ascii="Times;serif" w:hAnsi="Times;serif"/>
                <w:color w:val="008000"/>
                <w:position w:val="7"/>
                <w:sz w:val="16"/>
                <w:sz w:val="20"/>
                <w:shd w:fill="FFFFFF" w:val="clear"/>
              </w:rPr>
              <w:t>(2)</w:t>
            </w:r>
            <w:r>
              <w:rPr/>
              <w:t xml:space="preserve"> </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("DSUs") acquired in lieu of cash for the quarterly board retainer fee at the election of the filer, pursuant to the terms of the Consolidated Edison, Inc. (the "Company") Long Term Incentive Plan (the "Plan"). Each DSU represents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824.734 DSUs acquired on June 15, 2026, pursuant to the Plan's dividend reinvestment provision.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William J. Kelleher;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061" TargetMode="External"/><Relationship Id="rId5" Type="http://schemas.openxmlformats.org/officeDocument/2006/relationships/hyperlink" Target="http://www.sec.gov/cgi-bin/browse-edgar?action=getcompany&amp;CIK=0001047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3434</Characters>
  <CharactersWithSpaces>4005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